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3AA" w:rsidRPr="0022368E" w:rsidRDefault="005813AA" w:rsidP="00025FFA">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r>
      <w:r w:rsidR="001B10DC">
        <w:rPr>
          <w:rFonts w:ascii="Times New Roman" w:hAnsi="Times New Roman"/>
          <w:sz w:val="24"/>
        </w:rPr>
        <w:t>R4-190</w:t>
      </w:r>
      <w:r w:rsidR="00AA28A2">
        <w:rPr>
          <w:rFonts w:ascii="Times New Roman" w:hAnsi="Times New Roman"/>
          <w:sz w:val="24"/>
        </w:rPr>
        <w:t>4640</w:t>
      </w:r>
      <w:bookmarkStart w:id="0" w:name="_GoBack"/>
      <w:bookmarkEnd w:id="0"/>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1B10DC">
        <w:rPr>
          <w:rFonts w:ascii="Arial" w:hAnsi="Arial" w:cs="Arial"/>
          <w:sz w:val="24"/>
          <w:lang w:val="en-US" w:eastAsia="zh-CN"/>
        </w:rPr>
        <w:t>FR2 Test Equipment Limitations</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1B10DC">
        <w:rPr>
          <w:rFonts w:ascii="Arial" w:hAnsi="Arial" w:cs="Arial"/>
          <w:sz w:val="24"/>
          <w:lang w:val="en-US" w:eastAsia="zh-CN"/>
        </w:rPr>
        <w:t>ETS-Lindgren Inc.</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B10DC">
        <w:rPr>
          <w:rFonts w:ascii="Arial" w:hAnsi="Arial" w:cs="Arial"/>
          <w:sz w:val="24"/>
          <w:lang w:val="en-US" w:eastAsia="zh-CN"/>
        </w:rPr>
        <w:t>10.1.1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21632A" w:rsidRPr="0021632A" w:rsidRDefault="001B10DC" w:rsidP="002E5998">
      <w:pPr>
        <w:rPr>
          <w:b/>
        </w:rPr>
      </w:pPr>
      <w:r>
        <w:t>As the wireless industry rushes forward with the development and deployment of 5G  radio technology, there are still fundamental questions, both in radio design and manufacturing. In this contribution we will point out some of the challenges that remain to be solved by the test equipment manufacturers.</w:t>
      </w:r>
    </w:p>
    <w:p w:rsidR="005813AA" w:rsidRDefault="005813AA" w:rsidP="005813AA">
      <w:pPr>
        <w:pStyle w:val="Heading1"/>
        <w:jc w:val="both"/>
        <w:rPr>
          <w:rFonts w:eastAsia="SimSun"/>
          <w:lang w:val="en-US" w:eastAsia="zh-CN"/>
        </w:rPr>
      </w:pPr>
      <w:r>
        <w:rPr>
          <w:rFonts w:eastAsia="SimSun"/>
          <w:lang w:val="en-US" w:eastAsia="zh-CN"/>
        </w:rPr>
        <w:t>Discussion</w:t>
      </w:r>
    </w:p>
    <w:p w:rsidR="001B10DC" w:rsidRDefault="001B10DC" w:rsidP="001B10DC">
      <w:pPr>
        <w:pStyle w:val="BodyText"/>
      </w:pPr>
      <w:r>
        <w:t>One area that has not yet been addressed in 38.810 is the channel flatness of the test system, which must be compensated for in the communication tester.  Channel flatness is not a new issue and has been brought up in the CTIA OTA working group meetings since the introduction of WCDMA, which widened the channel bandwidth to 5 MHz.  The issue stems from the fact that cable losses, measurement antenna gain, over the air losses, and standing waves in the system, all introduce frequency dependent variations in the total path loss that impact the measured result.  For a narrow band channel like that for GSM, the impact is negligible because the variation</w:t>
      </w:r>
      <w:r w:rsidRPr="00181F12">
        <w:t xml:space="preserve"> </w:t>
      </w:r>
      <w:r>
        <w:t xml:space="preserve">vs. frequency is generally low and correcting for the path loss at the center frequency of the channel is sufficient.  However, as the channel gets wider, the frequency dependent variation means that the average path loss in the channel diverges from the path loss at the center frequency, resulting in an error in the corrected average power measured.  With the advent of LTE and the introduction of 10 and 20 MHz wide channels, the CTIA OTA working group adopted an approach that used the average path loss in the channel rather than just correcting for the center frequency.  While this is a simple post-processing fix that works by assuming the DUT transmits a flat channel that is distorted by the test system, there is still a considerable amount of measurement uncertainty associated with the receiver sensitivity test.  </w:t>
      </w:r>
    </w:p>
    <w:p w:rsidR="001B10DC" w:rsidRDefault="001B10DC" w:rsidP="001B10DC">
      <w:pPr>
        <w:pStyle w:val="BodyText"/>
      </w:pPr>
    </w:p>
    <w:p w:rsidR="001B10DC" w:rsidRDefault="001B10DC" w:rsidP="001B10DC">
      <w:pPr>
        <w:pStyle w:val="BodyText"/>
      </w:pPr>
      <w:r>
        <w:t xml:space="preserve">To see this, consider the pre-5G mmWave channels illustrated in </w:t>
      </w:r>
      <w:r>
        <w:fldChar w:fldCharType="begin"/>
      </w:r>
      <w:r>
        <w:instrText xml:space="preserve"> REF _Ref528052021 \r \h </w:instrText>
      </w:r>
      <w:r>
        <w:fldChar w:fldCharType="separate"/>
      </w:r>
      <w:r>
        <w:t>Fig. 1</w:t>
      </w:r>
      <w:r>
        <w:fldChar w:fldCharType="end"/>
      </w:r>
      <w:r>
        <w:t xml:space="preserve">, which, at a 100 MHz channel bandwidth, simply exacerbate the problem further.  Near the center of the band, the channels appear relatively flat, although they still exhibit a dB or more of ripple.  However, near the band edge the channels are showing up to 3 dB of variation from one side to the other.  Consider the impact of say the third channel vs. the eighth channel in the graph.  Even after correcting for the average power difference in the two channels as shown in </w:t>
      </w:r>
      <w:r>
        <w:fldChar w:fldCharType="begin"/>
      </w:r>
      <w:r>
        <w:instrText xml:space="preserve"> REF _Ref528052896 \r \h </w:instrText>
      </w:r>
      <w:r>
        <w:fldChar w:fldCharType="separate"/>
      </w:r>
      <w:r>
        <w:t>Fig. 2</w:t>
      </w:r>
      <w:r>
        <w:fldChar w:fldCharType="end"/>
      </w:r>
      <w:r>
        <w:t>, it’s apparent that the eighth channel represents a more difficult challenge to the UE than the third channel.  The channel equalizer in the receiver is having to work harder to compensate for the larger channel spread, at the cost of receiver dynamic range.  In the example, the right side of the eighth channel would reach the noise floor well before any portion of the third channel.</w:t>
      </w:r>
    </w:p>
    <w:p w:rsidR="001B10DC" w:rsidRDefault="001B10DC" w:rsidP="001B10DC">
      <w:pPr>
        <w:pStyle w:val="BodyText"/>
      </w:pPr>
    </w:p>
    <w:p w:rsidR="001B10DC" w:rsidRDefault="001B10DC" w:rsidP="001B10DC">
      <w:pPr>
        <w:pStyle w:val="BodyText"/>
        <w:spacing w:after="0"/>
        <w:jc w:val="center"/>
      </w:pPr>
      <w:r w:rsidRPr="00981BEF">
        <w:rPr>
          <w:noProof/>
          <w:lang w:val="en-US"/>
        </w:rPr>
        <w:lastRenderedPageBreak/>
        <w:drawing>
          <wp:inline distT="0" distB="0" distL="0" distR="0">
            <wp:extent cx="5486400" cy="360045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3600450"/>
                    </a:xfrm>
                    <a:prstGeom prst="rect">
                      <a:avLst/>
                    </a:prstGeom>
                    <a:noFill/>
                    <a:ln>
                      <a:noFill/>
                    </a:ln>
                  </pic:spPr>
                </pic:pic>
              </a:graphicData>
            </a:graphic>
          </wp:inline>
        </w:drawing>
      </w:r>
    </w:p>
    <w:p w:rsidR="001B10DC" w:rsidRDefault="001B10DC" w:rsidP="001B10DC">
      <w:pPr>
        <w:pStyle w:val="figurecaption"/>
        <w:jc w:val="center"/>
        <w:rPr>
          <w:rFonts w:eastAsia="MS Mincho"/>
        </w:rPr>
      </w:pPr>
      <w:bookmarkStart w:id="2" w:name="_Ref528052021"/>
      <w:r>
        <w:rPr>
          <w:rFonts w:eastAsia="MS Mincho"/>
        </w:rPr>
        <w:t>Example of eight 100 MHz channels centered in the 28 GHz band.</w:t>
      </w:r>
      <w:bookmarkEnd w:id="2"/>
    </w:p>
    <w:p w:rsidR="001B10DC" w:rsidRDefault="001B10DC" w:rsidP="001B10DC">
      <w:pPr>
        <w:pStyle w:val="BodyText"/>
      </w:pPr>
      <w:r>
        <w:t xml:space="preserve">Note that the channel differences mentioned here could be different frequencies in the same system, or the same frequency in different test systems.  In either case, the impact on receiver sensitivity needs to be addressed.  Unfortunately it’s obvious that just correcting for average power isn’t enough, and the overall impact of a given channel shape on a given receiver is a complete unknown.  Thus, the only real solution is to correct the problem in the test system so that the DUT is exposed to a flat channel, regardless of the center frequency or test system used.  To do so requires that the communication tester be able to pre-distort the transmitted waveform as shown in </w:t>
      </w:r>
      <w:r>
        <w:fldChar w:fldCharType="begin"/>
      </w:r>
      <w:r>
        <w:instrText xml:space="preserve"> REF _Ref528053416 \r \h </w:instrText>
      </w:r>
      <w:r>
        <w:fldChar w:fldCharType="separate"/>
      </w:r>
      <w:r>
        <w:t>Fig. 3</w:t>
      </w:r>
      <w:r>
        <w:fldChar w:fldCharType="end"/>
      </w:r>
      <w:r>
        <w:t xml:space="preserve"> by the inverse of the system path loss so that the field that the DUT is exposed to is flat vs. frequency as shown in </w:t>
      </w:r>
      <w:r>
        <w:fldChar w:fldCharType="begin"/>
      </w:r>
      <w:r>
        <w:instrText xml:space="preserve"> REF _Ref528053473 \r \h </w:instrText>
      </w:r>
      <w:r>
        <w:fldChar w:fldCharType="separate"/>
      </w:r>
      <w:r>
        <w:t>Fig. 4</w:t>
      </w:r>
      <w:r>
        <w:fldChar w:fldCharType="end"/>
      </w:r>
      <w:r>
        <w:t xml:space="preserve">.  While this is a common process in early VSA/VSG experiments for 5G mmWave OTA communication, it appears to have been overlooked at this point in the development of 5G communication testers that must operate over the air in 5G test systems. </w:t>
      </w:r>
    </w:p>
    <w:p w:rsidR="001B10DC" w:rsidRDefault="001B10DC" w:rsidP="001B10DC">
      <w:pPr>
        <w:pStyle w:val="figurecaption"/>
        <w:numPr>
          <w:ilvl w:val="0"/>
          <w:numId w:val="0"/>
        </w:numPr>
        <w:spacing w:after="0"/>
        <w:jc w:val="center"/>
        <w:rPr>
          <w:rFonts w:eastAsia="MS Mincho"/>
        </w:rPr>
      </w:pPr>
      <w:r w:rsidRPr="0088679C">
        <w:rPr>
          <w:rFonts w:eastAsia="MS Mincho"/>
        </w:rPr>
        <w:lastRenderedPageBreak/>
        <w:drawing>
          <wp:inline distT="0" distB="0" distL="0" distR="0">
            <wp:extent cx="5486400" cy="36004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3600450"/>
                    </a:xfrm>
                    <a:prstGeom prst="rect">
                      <a:avLst/>
                    </a:prstGeom>
                    <a:noFill/>
                    <a:ln>
                      <a:noFill/>
                    </a:ln>
                  </pic:spPr>
                </pic:pic>
              </a:graphicData>
            </a:graphic>
          </wp:inline>
        </w:drawing>
      </w:r>
    </w:p>
    <w:p w:rsidR="001B10DC" w:rsidRDefault="001B10DC" w:rsidP="001B10DC">
      <w:pPr>
        <w:pStyle w:val="figurecaption"/>
        <w:jc w:val="center"/>
      </w:pPr>
      <w:bookmarkStart w:id="3" w:name="_Ref528052896"/>
      <w:r>
        <w:rPr>
          <w:rFonts w:eastAsia="MS Mincho"/>
        </w:rPr>
        <w:t>The same eight mmWave channels corrected for the relative difference in average power in each channel.</w:t>
      </w:r>
      <w:bookmarkEnd w:id="3"/>
    </w:p>
    <w:p w:rsidR="001B10DC" w:rsidRDefault="001B10DC" w:rsidP="001B10DC">
      <w:pPr>
        <w:pStyle w:val="BodyText"/>
        <w:spacing w:after="0"/>
        <w:jc w:val="center"/>
      </w:pPr>
    </w:p>
    <w:p w:rsidR="001B10DC" w:rsidRDefault="001B10DC" w:rsidP="001B10DC">
      <w:pPr>
        <w:pStyle w:val="BodyText"/>
        <w:spacing w:after="0"/>
        <w:jc w:val="center"/>
      </w:pPr>
      <w:r w:rsidRPr="00981BEF">
        <w:rPr>
          <w:noProof/>
          <w:lang w:val="en-US"/>
        </w:rPr>
        <w:drawing>
          <wp:inline distT="0" distB="0" distL="0" distR="0">
            <wp:extent cx="5486400" cy="36004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3600450"/>
                    </a:xfrm>
                    <a:prstGeom prst="rect">
                      <a:avLst/>
                    </a:prstGeom>
                    <a:noFill/>
                    <a:ln>
                      <a:noFill/>
                    </a:ln>
                  </pic:spPr>
                </pic:pic>
              </a:graphicData>
            </a:graphic>
          </wp:inline>
        </w:drawing>
      </w:r>
    </w:p>
    <w:p w:rsidR="001B10DC" w:rsidRDefault="001B10DC" w:rsidP="001B10DC">
      <w:pPr>
        <w:pStyle w:val="figurecaption"/>
        <w:jc w:val="center"/>
        <w:rPr>
          <w:rFonts w:eastAsia="MS Mincho"/>
        </w:rPr>
      </w:pPr>
      <w:bookmarkStart w:id="4" w:name="_Ref528053416"/>
      <w:r>
        <w:rPr>
          <w:rFonts w:eastAsia="MS Mincho"/>
        </w:rPr>
        <w:t>Pre-distortion is required at the communication tester to compensate for the communication channel produced by the test system.</w:t>
      </w:r>
      <w:bookmarkEnd w:id="4"/>
    </w:p>
    <w:p w:rsidR="001B10DC" w:rsidRDefault="001B10DC" w:rsidP="001B10DC">
      <w:pPr>
        <w:pStyle w:val="BodyText"/>
        <w:spacing w:after="0"/>
        <w:jc w:val="center"/>
      </w:pPr>
      <w:r w:rsidRPr="00981BEF">
        <w:rPr>
          <w:noProof/>
          <w:lang w:val="en-US"/>
        </w:rPr>
        <w:lastRenderedPageBreak/>
        <w:drawing>
          <wp:inline distT="0" distB="0" distL="0" distR="0">
            <wp:extent cx="5486400" cy="36004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3600450"/>
                    </a:xfrm>
                    <a:prstGeom prst="rect">
                      <a:avLst/>
                    </a:prstGeom>
                    <a:noFill/>
                    <a:ln>
                      <a:noFill/>
                    </a:ln>
                  </pic:spPr>
                </pic:pic>
              </a:graphicData>
            </a:graphic>
          </wp:inline>
        </w:drawing>
      </w:r>
    </w:p>
    <w:p w:rsidR="001B10DC" w:rsidRDefault="001B10DC" w:rsidP="001B10DC">
      <w:pPr>
        <w:pStyle w:val="figurecaption"/>
        <w:jc w:val="center"/>
        <w:rPr>
          <w:rFonts w:eastAsia="MS Mincho"/>
        </w:rPr>
      </w:pPr>
      <w:bookmarkStart w:id="5" w:name="_Ref528053473"/>
      <w:r>
        <w:rPr>
          <w:rFonts w:eastAsia="MS Mincho"/>
        </w:rPr>
        <w:t>After the pre-distored signal propagates through the test system, the DUT is exposed to a flat channel.</w:t>
      </w:r>
      <w:bookmarkEnd w:id="5"/>
    </w:p>
    <w:p w:rsidR="001B10DC" w:rsidRDefault="001B10DC" w:rsidP="001B10DC"/>
    <w:p w:rsidR="001946C4" w:rsidRDefault="001946C4" w:rsidP="00195030">
      <w:pPr>
        <w:rPr>
          <w:b/>
        </w:rPr>
      </w:pPr>
    </w:p>
    <w:sectPr w:rsidR="001946C4" w:rsidSect="00034006">
      <w:footerReference w:type="even" r:id="rId17"/>
      <w:footerReference w:type="default" r:id="rId18"/>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078" w:rsidRDefault="00D73078">
      <w:r>
        <w:separator/>
      </w:r>
    </w:p>
  </w:endnote>
  <w:endnote w:type="continuationSeparator" w:id="0">
    <w:p w:rsidR="00D73078" w:rsidRDefault="00D7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A28A2">
      <w:rPr>
        <w:rStyle w:val="PageNumber"/>
      </w:rPr>
      <w:t>1</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078" w:rsidRDefault="00D73078">
      <w:r>
        <w:separator/>
      </w:r>
    </w:p>
  </w:footnote>
  <w:footnote w:type="continuationSeparator" w:id="0">
    <w:p w:rsidR="00D73078" w:rsidRDefault="00D73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0"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5"/>
  </w:num>
  <w:num w:numId="3">
    <w:abstractNumId w:val="29"/>
  </w:num>
  <w:num w:numId="4">
    <w:abstractNumId w:val="9"/>
  </w:num>
  <w:num w:numId="5">
    <w:abstractNumId w:val="12"/>
  </w:num>
  <w:num w:numId="6">
    <w:abstractNumId w:val="4"/>
  </w:num>
  <w:num w:numId="7">
    <w:abstractNumId w:val="7"/>
  </w:num>
  <w:num w:numId="8">
    <w:abstractNumId w:val="24"/>
  </w:num>
  <w:num w:numId="9">
    <w:abstractNumId w:val="20"/>
  </w:num>
  <w:num w:numId="10">
    <w:abstractNumId w:val="1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1"/>
  </w:num>
  <w:num w:numId="14">
    <w:abstractNumId w:val="21"/>
  </w:num>
  <w:num w:numId="15">
    <w:abstractNumId w:val="5"/>
  </w:num>
  <w:num w:numId="16">
    <w:abstractNumId w:val="2"/>
  </w:num>
  <w:num w:numId="17">
    <w:abstractNumId w:val="17"/>
  </w:num>
  <w:num w:numId="18">
    <w:abstractNumId w:val="14"/>
  </w:num>
  <w:num w:numId="19">
    <w:abstractNumId w:val="3"/>
  </w:num>
  <w:num w:numId="20">
    <w:abstractNumId w:val="10"/>
  </w:num>
  <w:num w:numId="21">
    <w:abstractNumId w:val="11"/>
  </w:num>
  <w:num w:numId="22">
    <w:abstractNumId w:val="8"/>
  </w:num>
  <w:num w:numId="23">
    <w:abstractNumId w:val="30"/>
  </w:num>
  <w:num w:numId="24">
    <w:abstractNumId w:val="28"/>
  </w:num>
  <w:num w:numId="25">
    <w:abstractNumId w:val="22"/>
  </w:num>
  <w:num w:numId="26">
    <w:abstractNumId w:val="6"/>
  </w:num>
  <w:num w:numId="27">
    <w:abstractNumId w:val="27"/>
  </w:num>
  <w:num w:numId="28">
    <w:abstractNumId w:val="26"/>
  </w:num>
  <w:num w:numId="29">
    <w:abstractNumId w:val="15"/>
  </w:num>
  <w:num w:numId="30">
    <w:abstractNumId w:val="13"/>
  </w:num>
  <w:num w:numId="31">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5FFA"/>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94"/>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159"/>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0DC"/>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4C60"/>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8A2"/>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1FFB"/>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078"/>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756"/>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B40D71"/>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paragraph" w:customStyle="1" w:styleId="figurecaption">
    <w:name w:val="figure caption"/>
    <w:rsid w:val="001B10DC"/>
    <w:pPr>
      <w:numPr>
        <w:numId w:val="31"/>
      </w:numPr>
      <w:tabs>
        <w:tab w:val="left" w:pos="533"/>
      </w:tabs>
      <w:spacing w:before="80" w:after="200"/>
      <w:ind w:left="0" w:firstLine="0"/>
      <w:jc w:val="both"/>
    </w:pPr>
    <w:rPr>
      <w:rFonts w:ascii="Times New Roman" w:eastAsia="Times New Roman" w:hAnsi="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8BA89154-C076-4B4C-AA45-5B2F17CD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Edwin Mendivil</cp:lastModifiedBy>
  <cp:revision>2</cp:revision>
  <cp:lastPrinted>2009-04-22T13:01:00Z</cp:lastPrinted>
  <dcterms:created xsi:type="dcterms:W3CDTF">2019-04-01T20:50:00Z</dcterms:created>
  <dcterms:modified xsi:type="dcterms:W3CDTF">2019-04-01T20:50:00Z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